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CCAC" w14:textId="77777777" w:rsidR="00860980" w:rsidRPr="001F4438" w:rsidRDefault="00860980" w:rsidP="001F4438">
      <w:pPr>
        <w:jc w:val="both"/>
        <w:rPr>
          <w:rFonts w:asciiTheme="majorHAnsi" w:hAnsiTheme="majorHAnsi" w:cstheme="majorHAnsi"/>
          <w:b/>
          <w:szCs w:val="22"/>
        </w:rPr>
      </w:pPr>
    </w:p>
    <w:p w14:paraId="0CAA8BF8" w14:textId="5C7DADD6" w:rsidR="00860980" w:rsidRPr="00AF541A" w:rsidRDefault="00860980" w:rsidP="00860980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szCs w:val="22"/>
        </w:rPr>
      </w:pPr>
      <w:r w:rsidRPr="00AF541A">
        <w:rPr>
          <w:rFonts w:asciiTheme="majorHAnsi" w:hAnsiTheme="majorHAnsi" w:cstheme="majorHAnsi"/>
          <w:b/>
          <w:szCs w:val="22"/>
        </w:rPr>
        <w:t xml:space="preserve">Faciliter la transition </w:t>
      </w:r>
      <w:proofErr w:type="spellStart"/>
      <w:r w:rsidRPr="00AF541A">
        <w:rPr>
          <w:rFonts w:asciiTheme="majorHAnsi" w:hAnsiTheme="majorHAnsi" w:cstheme="majorHAnsi"/>
          <w:b/>
          <w:szCs w:val="22"/>
        </w:rPr>
        <w:t>agro-écologique</w:t>
      </w:r>
      <w:proofErr w:type="spellEnd"/>
      <w:r w:rsidRPr="00AF541A">
        <w:rPr>
          <w:rFonts w:asciiTheme="majorHAnsi" w:hAnsiTheme="majorHAnsi" w:cstheme="majorHAnsi"/>
          <w:b/>
          <w:szCs w:val="22"/>
        </w:rPr>
        <w:t xml:space="preserve"> au stade de l'acquisition des terres</w:t>
      </w:r>
    </w:p>
    <w:p w14:paraId="05C8553B" w14:textId="77777777" w:rsidR="00860980" w:rsidRPr="00AF541A" w:rsidRDefault="00860980" w:rsidP="00860980">
      <w:pPr>
        <w:rPr>
          <w:rFonts w:asciiTheme="majorHAnsi" w:hAnsiTheme="majorHAnsi" w:cstheme="majorHAnsi"/>
        </w:rPr>
      </w:pPr>
      <w:r w:rsidRPr="00AF541A">
        <w:rPr>
          <w:rFonts w:asciiTheme="majorHAnsi" w:hAnsiTheme="majorHAnsi" w:cstheme="majorHAnsi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860980" w:rsidRPr="00AF541A" w14:paraId="77D70D9A" w14:textId="77777777" w:rsidTr="00F91D62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A6B62" w14:textId="77777777" w:rsidR="00860980" w:rsidRPr="00AF541A" w:rsidRDefault="00860980" w:rsidP="00F91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00767C3A" w14:textId="59C4929C" w:rsidR="00860980" w:rsidRPr="00AF541A" w:rsidRDefault="00860980" w:rsidP="00F91D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Prévoir des droits d’enregistrement réduits pour les terrains exploités en agriculture bio</w:t>
            </w:r>
          </w:p>
          <w:p w14:paraId="5C8866A7" w14:textId="77777777" w:rsidR="00860980" w:rsidRPr="00AF541A" w:rsidRDefault="00860980" w:rsidP="00F91D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860980" w:rsidRPr="00AF541A" w14:paraId="29B9245D" w14:textId="77777777" w:rsidTr="00F91D62"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78AF" w14:textId="77777777" w:rsidR="002843EB" w:rsidRPr="00AF541A" w:rsidRDefault="002843EB" w:rsidP="002843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77DA0B" w14:textId="0914E7E2" w:rsidR="002843EB" w:rsidRPr="00AF541A" w:rsidRDefault="002843EB" w:rsidP="002843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Après l’article XX </w:t>
            </w:r>
          </w:p>
          <w:p w14:paraId="1031B8B2" w14:textId="4CF29229" w:rsidR="00860980" w:rsidRPr="00AF541A" w:rsidRDefault="002843EB" w:rsidP="002843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Insérer un article additionnel ainsi rédigé : </w:t>
            </w:r>
            <w:r w:rsidR="00860980"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5E873FEE" w14:textId="77777777" w:rsidR="00860980" w:rsidRPr="00AF541A" w:rsidRDefault="00860980" w:rsidP="00F91D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05AC814E" w14:textId="4CEFF212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I. - Après le L. de l’article 1594 F quinquies du code général des impôts, </w:t>
            </w:r>
            <w:r w:rsidR="002843EB" w:rsidRPr="00AF541A">
              <w:rPr>
                <w:rFonts w:asciiTheme="majorHAnsi" w:hAnsiTheme="majorHAnsi" w:cstheme="majorHAnsi"/>
                <w:sz w:val="22"/>
                <w:szCs w:val="22"/>
              </w:rPr>
              <w:t>il est inséré</w:t>
            </w: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 xml:space="preserve"> les alinéas suivants :</w:t>
            </w:r>
          </w:p>
          <w:p w14:paraId="0ED356F9" w14:textId="77777777" w:rsidR="00561B39" w:rsidRPr="00AF541A" w:rsidRDefault="00561B39" w:rsidP="00F91D62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45E939C5" w14:textId="7E04879C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AF541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« M.- Les acquisitions d'immeubles ruraux relevant du mode de production biologique conformément aux règles fixées dans le règlement (CE) n° 834/2007 du Conseil, du 28 juin 2007, relatif à la production biologique et à l'étiquetage de produits biologiques et abrogeant le règlement (CEE) n° 2092/91 ;</w:t>
            </w:r>
          </w:p>
          <w:p w14:paraId="1F5A0965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</w:rPr>
            </w:pPr>
            <w:r w:rsidRPr="00AF541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N.- Les acquisitions d'immeubles ruraux à condition q</w:t>
            </w:r>
            <w:r w:rsidRPr="00AF541A">
              <w:rPr>
                <w:rFonts w:asciiTheme="majorHAnsi" w:hAnsiTheme="majorHAnsi" w:cstheme="majorHAnsi"/>
                <w:color w:val="000000" w:themeColor="text1"/>
                <w:sz w:val="18"/>
              </w:rPr>
              <w:t>ue</w:t>
            </w:r>
            <w:r w:rsidRPr="00AF541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l'acquéreur prenne l'engagement, pour lui et ses ayants cause à titre gratuit, d'exploiter personnellement lesdits biens selon le mode de production biologique dans la limite de deux ans suivant la date du transfert de propriété, ou de donner à bail le terrain à un fermier exploitant en agriculture biologique dans la limite de deux ans suivant la date du transfert de propriété. En cas de non-respect de cet engagement, les infractions sont constatées par des </w:t>
            </w:r>
            <w:r w:rsidRPr="00AF54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procès-verbaux dressés par les agents du service départemental de l'agriculture. A défaut d’exécution de cet engagement, l'acquéreur est tenu d'acquitter, conformément aux dispositions de l</w:t>
            </w:r>
            <w:hyperlink r:id="rId5">
              <w:r w:rsidRPr="00AF541A">
                <w:rPr>
                  <w:rStyle w:val="LienInternet"/>
                  <w:rFonts w:asciiTheme="majorHAnsi" w:hAnsiTheme="majorHAnsi" w:cstheme="majorHAnsi"/>
                  <w:color w:val="000000"/>
                  <w:sz w:val="22"/>
                  <w:szCs w:val="22"/>
                </w:rPr>
                <w:t>'article 1840 G ter </w:t>
              </w:r>
            </w:hyperlink>
            <w:hyperlink r:id="rId6">
              <w:r w:rsidRPr="00AF541A">
                <w:rPr>
                  <w:rStyle w:val="LienInternet"/>
                  <w:rFonts w:asciiTheme="majorHAnsi" w:hAnsiTheme="majorHAnsi" w:cstheme="majorHAnsi"/>
                  <w:color w:val="000000"/>
                  <w:sz w:val="22"/>
                  <w:szCs w:val="22"/>
                </w:rPr>
                <w:t>II </w:t>
              </w:r>
            </w:hyperlink>
            <w:hyperlink r:id="rId7">
              <w:r w:rsidRPr="00AF541A">
                <w:rPr>
                  <w:rStyle w:val="LienInternet"/>
                  <w:rFonts w:asciiTheme="majorHAnsi" w:hAnsiTheme="majorHAnsi" w:cstheme="majorHAnsi"/>
                  <w:color w:val="000000"/>
                  <w:sz w:val="22"/>
                  <w:szCs w:val="22"/>
                </w:rPr>
                <w:t>du CGI</w:t>
              </w:r>
            </w:hyperlink>
            <w:r w:rsidRPr="00AF541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l'imposition dont il avait été exonéré ainsi qu'un droit supplémentaire de 1%. »</w:t>
            </w:r>
          </w:p>
          <w:p w14:paraId="5C271E76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br/>
              <w:t>II. – La perte de recettes pour l’État est compensée à due concurrence par la création d’une taxe additionnelle aux droits mentionnés aux articles 575 et 575 A du code général des impôts. </w:t>
            </w:r>
          </w:p>
          <w:p w14:paraId="63C88C9A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C6D3D4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860980" w:rsidRPr="00AF541A" w14:paraId="62D28CBE" w14:textId="77777777" w:rsidTr="00F91D62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CE0A" w14:textId="77777777" w:rsidR="00860980" w:rsidRPr="00AF541A" w:rsidRDefault="00860980" w:rsidP="00F91D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39512FB3" w14:textId="77777777" w:rsidR="00860980" w:rsidRPr="00AF541A" w:rsidRDefault="00860980" w:rsidP="00F91D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Exposé des motifs :</w:t>
            </w:r>
          </w:p>
          <w:p w14:paraId="7A9FA63D" w14:textId="77777777" w:rsidR="00860980" w:rsidRPr="00AF541A" w:rsidRDefault="00860980" w:rsidP="00F91D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59B9658C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sz w:val="22"/>
                <w:szCs w:val="22"/>
              </w:rPr>
              <w:t>Le présent amendement vise à ce que les terrains exploités en agriculture biologique et ceux destinés à l’être puissent bénéficier d’un droit d’enregistrement réduit, afin de favoriser l’investissement dans les projets en agriculture biologique.</w:t>
            </w:r>
          </w:p>
          <w:p w14:paraId="3879A193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384597" w14:textId="77777777" w:rsidR="00860980" w:rsidRPr="00AF541A" w:rsidRDefault="00860980" w:rsidP="00F91D6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60980" w:rsidRPr="00AF541A" w14:paraId="6078C02F" w14:textId="77777777" w:rsidTr="00F91D62"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3B87" w14:textId="77777777" w:rsidR="00860980" w:rsidRPr="00AF541A" w:rsidRDefault="00860980" w:rsidP="00F91D6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9EE701B" w14:textId="77777777" w:rsidR="00860980" w:rsidRPr="00AF541A" w:rsidRDefault="00860980" w:rsidP="00F91D6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Texte de référence : </w:t>
            </w:r>
            <w:r w:rsidRPr="00AF541A">
              <w:rPr>
                <w:rFonts w:asciiTheme="majorHAnsi" w:hAnsiTheme="majorHAnsi" w:cstheme="majorHAnsi"/>
                <w:bCs/>
                <w:sz w:val="22"/>
                <w:szCs w:val="22"/>
              </w:rPr>
              <w:t>Code général des impôts</w:t>
            </w:r>
            <w:r w:rsidRPr="00AF54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14:paraId="6B4F68EA" w14:textId="77777777" w:rsidR="00860980" w:rsidRPr="00AF541A" w:rsidRDefault="00860980" w:rsidP="00F91D6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23284F97" w14:textId="3BEE01FE" w:rsidR="00D3350C" w:rsidRPr="00AF541A" w:rsidRDefault="00D3350C">
      <w:pPr>
        <w:rPr>
          <w:rFonts w:asciiTheme="majorHAnsi" w:hAnsiTheme="majorHAnsi" w:cstheme="majorHAnsi"/>
        </w:rPr>
      </w:pPr>
    </w:p>
    <w:p w14:paraId="3B38F310" w14:textId="77777777" w:rsidR="00860980" w:rsidRPr="00AF541A" w:rsidRDefault="00860980">
      <w:pPr>
        <w:rPr>
          <w:rFonts w:asciiTheme="majorHAnsi" w:hAnsiTheme="majorHAnsi" w:cstheme="majorHAnsi"/>
        </w:rPr>
      </w:pPr>
    </w:p>
    <w:sectPr w:rsidR="00860980" w:rsidRPr="00AF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cle Semi">
    <w:panose1 w:val="02000000000000000000"/>
    <w:charset w:val="00"/>
    <w:family w:val="auto"/>
    <w:pitch w:val="variable"/>
    <w:sig w:usb0="A000002F" w:usb1="4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116"/>
    <w:multiLevelType w:val="hybridMultilevel"/>
    <w:tmpl w:val="286C01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80"/>
    <w:rsid w:val="000103DD"/>
    <w:rsid w:val="000E7295"/>
    <w:rsid w:val="00151716"/>
    <w:rsid w:val="001F4438"/>
    <w:rsid w:val="002151DE"/>
    <w:rsid w:val="002843EB"/>
    <w:rsid w:val="002D66A0"/>
    <w:rsid w:val="00332E2C"/>
    <w:rsid w:val="00531CEC"/>
    <w:rsid w:val="00561B39"/>
    <w:rsid w:val="00745805"/>
    <w:rsid w:val="007F4EEE"/>
    <w:rsid w:val="00821560"/>
    <w:rsid w:val="00860980"/>
    <w:rsid w:val="008F677E"/>
    <w:rsid w:val="009045BF"/>
    <w:rsid w:val="009E7D30"/>
    <w:rsid w:val="00AF541A"/>
    <w:rsid w:val="00B97A11"/>
    <w:rsid w:val="00BB1D0A"/>
    <w:rsid w:val="00D3350C"/>
    <w:rsid w:val="00D37E1B"/>
    <w:rsid w:val="00DB6A69"/>
    <w:rsid w:val="00E80C03"/>
    <w:rsid w:val="00E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2A2A"/>
  <w15:chartTrackingRefBased/>
  <w15:docId w15:val="{A0248B23-BBC0-4F8C-B746-BA4C1E91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72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72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E7295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480"/>
      <w:jc w:val="center"/>
    </w:pPr>
    <w:rPr>
      <w:rFonts w:ascii="Cicle Semi" w:eastAsiaTheme="minorHAnsi" w:hAnsi="Cicle Semi" w:cstheme="minorBidi"/>
      <w:b/>
      <w:color w:val="095D40"/>
      <w:sz w:val="28"/>
      <w:szCs w:val="22"/>
    </w:rPr>
  </w:style>
  <w:style w:type="character" w:customStyle="1" w:styleId="Style1Car">
    <w:name w:val="Style1 Car"/>
    <w:basedOn w:val="Policepardfaut"/>
    <w:link w:val="Style1"/>
    <w:rsid w:val="000E7295"/>
    <w:rPr>
      <w:rFonts w:ascii="Cicle Semi" w:hAnsi="Cicle Semi"/>
      <w:b/>
      <w:color w:val="095D40"/>
      <w:sz w:val="28"/>
      <w:shd w:val="clear" w:color="auto" w:fill="F2F2F2" w:themeFill="background1" w:themeFillShade="F2"/>
    </w:rPr>
  </w:style>
  <w:style w:type="character" w:customStyle="1" w:styleId="Titre1Car">
    <w:name w:val="Titre 1 Car"/>
    <w:basedOn w:val="Policepardfaut"/>
    <w:link w:val="Titre1"/>
    <w:uiPriority w:val="9"/>
    <w:rsid w:val="000E7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0E7295"/>
    <w:pPr>
      <w:jc w:val="center"/>
    </w:pPr>
    <w:rPr>
      <w:rFonts w:ascii="Cicle Semi" w:hAnsi="Cicle Semi"/>
      <w:b/>
      <w:bCs/>
      <w:color w:val="000000" w:themeColor="text1"/>
      <w:sz w:val="28"/>
      <w:szCs w:val="28"/>
      <w:u w:val="single"/>
    </w:rPr>
  </w:style>
  <w:style w:type="character" w:customStyle="1" w:styleId="Style2Car">
    <w:name w:val="Style2 Car"/>
    <w:basedOn w:val="Policepardfaut"/>
    <w:link w:val="Style2"/>
    <w:rsid w:val="000E7295"/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paragraph" w:customStyle="1" w:styleId="TItre20">
    <w:name w:val="TItre2"/>
    <w:basedOn w:val="Titre2"/>
    <w:qFormat/>
    <w:rsid w:val="000E7295"/>
    <w:pPr>
      <w:spacing w:before="240" w:after="240" w:line="360" w:lineRule="auto"/>
      <w:jc w:val="center"/>
    </w:pPr>
    <w:rPr>
      <w:rFonts w:ascii="Cicle Semi" w:hAnsi="Cicle Semi"/>
      <w:b/>
      <w:color w:val="auto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30">
    <w:name w:val="TItre3"/>
    <w:basedOn w:val="Titre3"/>
    <w:qFormat/>
    <w:rsid w:val="000E7295"/>
    <w:pPr>
      <w:spacing w:line="480" w:lineRule="auto"/>
      <w:ind w:left="709"/>
      <w:jc w:val="both"/>
    </w:pPr>
    <w:rPr>
      <w:rFonts w:ascii="Cicle Semi" w:hAnsi="Cicle Semi"/>
      <w:b/>
      <w:color w:val="095D40"/>
    </w:rPr>
  </w:style>
  <w:style w:type="character" w:customStyle="1" w:styleId="Titre3Car">
    <w:name w:val="Titre 3 Car"/>
    <w:basedOn w:val="Policepardfaut"/>
    <w:link w:val="Titre3"/>
    <w:uiPriority w:val="9"/>
    <w:semiHidden/>
    <w:rsid w:val="000E7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re40">
    <w:name w:val="Titre4"/>
    <w:basedOn w:val="Titre4"/>
    <w:qFormat/>
    <w:rsid w:val="000E7295"/>
    <w:pPr>
      <w:ind w:left="708"/>
      <w:jc w:val="both"/>
    </w:pPr>
    <w:rPr>
      <w:rFonts w:ascii="Cicle Semi" w:hAnsi="Cicle Semi"/>
      <w:b/>
      <w:bCs/>
      <w:iCs w:val="0"/>
      <w:color w:val="auto"/>
      <w:szCs w:val="2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E72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re50">
    <w:name w:val="Titre5"/>
    <w:basedOn w:val="Titre5"/>
    <w:qFormat/>
    <w:rsid w:val="000E7295"/>
    <w:pPr>
      <w:jc w:val="center"/>
    </w:pPr>
    <w:rPr>
      <w:rFonts w:ascii="Cicle Semi" w:hAnsi="Cicle Semi"/>
      <w:b/>
      <w:color w:val="BF8F00" w:themeColor="accent4" w:themeShade="BF"/>
      <w:szCs w:val="2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860980"/>
    <w:pPr>
      <w:ind w:left="720"/>
      <w:contextualSpacing/>
    </w:pPr>
  </w:style>
  <w:style w:type="character" w:customStyle="1" w:styleId="LienInternet">
    <w:name w:val="Lien Internet"/>
    <w:basedOn w:val="Policepardfaut"/>
    <w:uiPriority w:val="99"/>
    <w:unhideWhenUsed/>
    <w:rsid w:val="0086098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86098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1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affichCodeArticle.do?idArticle=LEGIARTI000006313994&amp;cidTexte=LEGITEXT000006069577&amp;dateTexte=20060614&amp;oldAction=rechCode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france.gouv.fr/affichCodeArticle.do?idArticle=LEGIARTI000006313994&amp;cidTexte=LEGITEXT000006069577&amp;dateTexte=20060614&amp;oldAction=rechCodeArticle" TargetMode="External"/><Relationship Id="rId5" Type="http://schemas.openxmlformats.org/officeDocument/2006/relationships/hyperlink" Target="http://www.legifrance.gouv.fr/affichCodeArticle.do?idArticle=LEGIARTI000006313994&amp;cidTexte=LEGITEXT000006069577&amp;dateTexte=20060614&amp;oldAction=rechCodeArtic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GELOT - SKOV</dc:creator>
  <cp:keywords/>
  <dc:description/>
  <cp:lastModifiedBy>Laura Croze</cp:lastModifiedBy>
  <cp:revision>22</cp:revision>
  <dcterms:created xsi:type="dcterms:W3CDTF">2021-08-03T10:10:00Z</dcterms:created>
  <dcterms:modified xsi:type="dcterms:W3CDTF">2021-08-04T07:58:00Z</dcterms:modified>
</cp:coreProperties>
</file>