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8F32" w14:textId="14022EDC" w:rsidR="009E0317" w:rsidRPr="006D02F4" w:rsidRDefault="009E0317" w:rsidP="00D87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CONTRAIGNONS LES MAÎTRES D’OUVRAGE A REALISER LE DIAGNOSTIC PRE-DEMOLITION PRODUITS-MATERIAUX-DECHETS</w:t>
      </w:r>
    </w:p>
    <w:p w14:paraId="5D7D54FE" w14:textId="7BEAD274" w:rsidR="009E0317" w:rsidRDefault="009E0317" w:rsidP="009E0317">
      <w:pPr>
        <w:tabs>
          <w:tab w:val="left" w:pos="2892"/>
        </w:tabs>
        <w:rPr>
          <w:rFonts w:ascii="Arial" w:hAnsi="Arial" w:cs="Arial"/>
          <w:sz w:val="24"/>
          <w:szCs w:val="24"/>
        </w:rPr>
      </w:pPr>
    </w:p>
    <w:p w14:paraId="7A9899E8" w14:textId="4B555D88" w:rsidR="009E0317" w:rsidRDefault="009E0317" w:rsidP="009E0317">
      <w:pPr>
        <w:tabs>
          <w:tab w:val="left" w:pos="2892"/>
        </w:tabs>
        <w:rPr>
          <w:rFonts w:ascii="Arial" w:hAnsi="Arial" w:cs="Arial"/>
          <w:sz w:val="24"/>
          <w:szCs w:val="24"/>
        </w:rPr>
      </w:pPr>
    </w:p>
    <w:p w14:paraId="1D002E90" w14:textId="77777777" w:rsidR="009E0317" w:rsidRPr="00CC3480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3480">
        <w:rPr>
          <w:rFonts w:ascii="Arial" w:hAnsi="Arial" w:cs="Arial"/>
          <w:b/>
          <w:bCs/>
          <w:i/>
          <w:iCs/>
          <w:sz w:val="24"/>
          <w:szCs w:val="24"/>
        </w:rPr>
        <w:t>Après l’article XX</w:t>
      </w:r>
    </w:p>
    <w:p w14:paraId="2B06F9B5" w14:textId="77777777" w:rsidR="009E0317" w:rsidRPr="006D02F4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3480">
        <w:rPr>
          <w:rFonts w:ascii="Arial" w:hAnsi="Arial" w:cs="Arial"/>
          <w:b/>
          <w:bCs/>
          <w:i/>
          <w:iCs/>
          <w:sz w:val="24"/>
          <w:szCs w:val="24"/>
        </w:rPr>
        <w:t>Insérer un article additionnel ainsi rédigé</w:t>
      </w:r>
      <w:r w:rsidRPr="006D02F4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0AA25DF0" w14:textId="77777777" w:rsidR="00742E0F" w:rsidRDefault="00742E0F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Antiqua,Bold" w:hAnsi="BookAntiqua,Bold" w:cs="BookAntiqua,Bold"/>
          <w:b/>
          <w:bCs/>
          <w:sz w:val="24"/>
          <w:szCs w:val="24"/>
        </w:rPr>
      </w:pPr>
    </w:p>
    <w:p w14:paraId="503757D2" w14:textId="126D3AF5" w:rsid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317">
        <w:rPr>
          <w:rFonts w:ascii="Arial" w:hAnsi="Arial" w:cs="Arial"/>
          <w:sz w:val="24"/>
          <w:szCs w:val="24"/>
        </w:rPr>
        <w:t xml:space="preserve">Après </w:t>
      </w:r>
      <w:r>
        <w:rPr>
          <w:rFonts w:ascii="Arial" w:hAnsi="Arial" w:cs="Arial"/>
          <w:sz w:val="24"/>
          <w:szCs w:val="24"/>
        </w:rPr>
        <w:t>l’article L. 126-35</w:t>
      </w:r>
      <w:r w:rsidR="00742E0F">
        <w:rPr>
          <w:rFonts w:ascii="Arial" w:hAnsi="Arial" w:cs="Arial"/>
          <w:sz w:val="24"/>
          <w:szCs w:val="24"/>
        </w:rPr>
        <w:t xml:space="preserve"> du Code de la construction et de l’habitation</w:t>
      </w:r>
      <w:r>
        <w:rPr>
          <w:rFonts w:ascii="Arial" w:hAnsi="Arial" w:cs="Arial"/>
          <w:sz w:val="24"/>
          <w:szCs w:val="24"/>
        </w:rPr>
        <w:t xml:space="preserve">, </w:t>
      </w:r>
      <w:r w:rsidR="00742E0F">
        <w:rPr>
          <w:rFonts w:ascii="Arial" w:hAnsi="Arial" w:cs="Arial"/>
          <w:sz w:val="24"/>
          <w:szCs w:val="24"/>
        </w:rPr>
        <w:t>il est inséré</w:t>
      </w:r>
      <w:r>
        <w:rPr>
          <w:rFonts w:ascii="Arial" w:hAnsi="Arial" w:cs="Arial"/>
          <w:sz w:val="24"/>
          <w:szCs w:val="24"/>
        </w:rPr>
        <w:t xml:space="preserve"> un article ainsi rédigé :</w:t>
      </w:r>
    </w:p>
    <w:p w14:paraId="2B936E13" w14:textId="77777777" w:rsidR="009E0317" w:rsidRP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C3F13" w14:textId="10DE82DA" w:rsidR="009E0317" w:rsidRPr="000F6305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F6305">
        <w:rPr>
          <w:rFonts w:ascii="Arial" w:hAnsi="Arial" w:cs="Arial"/>
          <w:i/>
          <w:iCs/>
          <w:sz w:val="24"/>
          <w:szCs w:val="24"/>
        </w:rPr>
        <w:t>“Art. L</w:t>
      </w:r>
      <w:r w:rsidR="00FA72EA" w:rsidRPr="000F6305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F6305">
        <w:rPr>
          <w:rFonts w:ascii="Arial" w:hAnsi="Arial" w:cs="Arial"/>
          <w:i/>
          <w:iCs/>
          <w:sz w:val="24"/>
          <w:szCs w:val="24"/>
        </w:rPr>
        <w:t>126-36. – Le fait pour le maître d’ouvrage de ne pas se conformer aux obligations prévues à l’article L. 126-34 et aux dispositions réglementaires prises pour son application est passible d’une amende maximale de 45 000 euros”</w:t>
      </w:r>
    </w:p>
    <w:p w14:paraId="0B4220E8" w14:textId="77777777" w:rsidR="009E0317" w:rsidRP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00AC4" w14:textId="1084DA82" w:rsid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02F4">
        <w:rPr>
          <w:rFonts w:ascii="Arial" w:hAnsi="Arial" w:cs="Arial"/>
          <w:b/>
          <w:bCs/>
          <w:sz w:val="24"/>
          <w:szCs w:val="24"/>
        </w:rPr>
        <w:t>EXPOSÉ SOMMAIRE</w:t>
      </w:r>
    </w:p>
    <w:p w14:paraId="53BF59E2" w14:textId="77777777" w:rsidR="009E0317" w:rsidRP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5DA23C" w14:textId="45C8EE94" w:rsid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317">
        <w:rPr>
          <w:rFonts w:ascii="Arial" w:hAnsi="Arial" w:cs="Arial"/>
          <w:sz w:val="24"/>
          <w:szCs w:val="24"/>
        </w:rPr>
        <w:t>Dix ans après son entrée en vigueur, seulement 5 à 10 % des</w:t>
      </w:r>
      <w:r>
        <w:rPr>
          <w:rFonts w:ascii="Arial" w:hAnsi="Arial" w:cs="Arial"/>
          <w:sz w:val="24"/>
          <w:szCs w:val="24"/>
        </w:rPr>
        <w:t xml:space="preserve"> </w:t>
      </w:r>
      <w:r w:rsidRPr="009E0317">
        <w:rPr>
          <w:rFonts w:ascii="Arial" w:hAnsi="Arial" w:cs="Arial"/>
          <w:sz w:val="24"/>
          <w:szCs w:val="24"/>
        </w:rPr>
        <w:t xml:space="preserve">opérations relevant du champ du diagnostic pré-démolition </w:t>
      </w:r>
      <w:r>
        <w:rPr>
          <w:rFonts w:ascii="Arial" w:hAnsi="Arial" w:cs="Arial"/>
          <w:sz w:val="24"/>
          <w:szCs w:val="24"/>
        </w:rPr>
        <w:t xml:space="preserve">déchets ont </w:t>
      </w:r>
      <w:r w:rsidRPr="009E0317">
        <w:rPr>
          <w:rFonts w:ascii="Arial" w:hAnsi="Arial" w:cs="Arial"/>
          <w:sz w:val="24"/>
          <w:szCs w:val="24"/>
        </w:rPr>
        <w:t>effectivement</w:t>
      </w:r>
      <w:r>
        <w:rPr>
          <w:rFonts w:ascii="Arial" w:hAnsi="Arial" w:cs="Arial"/>
          <w:sz w:val="24"/>
          <w:szCs w:val="24"/>
        </w:rPr>
        <w:t xml:space="preserve"> fait</w:t>
      </w:r>
      <w:r w:rsidRPr="009E0317">
        <w:rPr>
          <w:rFonts w:ascii="Arial" w:hAnsi="Arial" w:cs="Arial"/>
          <w:sz w:val="24"/>
          <w:szCs w:val="24"/>
        </w:rPr>
        <w:t xml:space="preserve"> l'objet d'un tel diagnostic.</w:t>
      </w:r>
    </w:p>
    <w:p w14:paraId="50973357" w14:textId="77777777" w:rsidR="009E0317" w:rsidRP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89186" w14:textId="1E208C56" w:rsid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317">
        <w:rPr>
          <w:rFonts w:ascii="Arial" w:hAnsi="Arial" w:cs="Arial"/>
          <w:sz w:val="24"/>
          <w:szCs w:val="24"/>
        </w:rPr>
        <w:t>Le fait que le législateur n'ait pas prévu de mécanisme opérationnel</w:t>
      </w:r>
      <w:r>
        <w:rPr>
          <w:rFonts w:ascii="Arial" w:hAnsi="Arial" w:cs="Arial"/>
          <w:sz w:val="24"/>
          <w:szCs w:val="24"/>
        </w:rPr>
        <w:t xml:space="preserve"> </w:t>
      </w:r>
      <w:r w:rsidRPr="009E0317">
        <w:rPr>
          <w:rFonts w:ascii="Arial" w:hAnsi="Arial" w:cs="Arial"/>
          <w:sz w:val="24"/>
          <w:szCs w:val="24"/>
        </w:rPr>
        <w:t>de sanction du diagnostic pré-démolition est une des raisons à son</w:t>
      </w:r>
      <w:r>
        <w:rPr>
          <w:rFonts w:ascii="Arial" w:hAnsi="Arial" w:cs="Arial"/>
          <w:sz w:val="24"/>
          <w:szCs w:val="24"/>
        </w:rPr>
        <w:t xml:space="preserve"> </w:t>
      </w:r>
      <w:r w:rsidRPr="009E0317">
        <w:rPr>
          <w:rFonts w:ascii="Arial" w:hAnsi="Arial" w:cs="Arial"/>
          <w:sz w:val="24"/>
          <w:szCs w:val="24"/>
        </w:rPr>
        <w:t>faible déploiement : aujourd'hui, il n'est pas possible de sanctionner</w:t>
      </w:r>
      <w:r>
        <w:rPr>
          <w:rFonts w:ascii="Arial" w:hAnsi="Arial" w:cs="Arial"/>
          <w:sz w:val="24"/>
          <w:szCs w:val="24"/>
        </w:rPr>
        <w:t xml:space="preserve"> </w:t>
      </w:r>
      <w:r w:rsidRPr="009E0317">
        <w:rPr>
          <w:rFonts w:ascii="Arial" w:hAnsi="Arial" w:cs="Arial"/>
          <w:sz w:val="24"/>
          <w:szCs w:val="24"/>
        </w:rPr>
        <w:t>un maître d'ouvrage n'ayant pas fait réaliser ce diagnostic avant</w:t>
      </w:r>
      <w:r>
        <w:rPr>
          <w:rFonts w:ascii="Arial" w:hAnsi="Arial" w:cs="Arial"/>
          <w:sz w:val="24"/>
          <w:szCs w:val="24"/>
        </w:rPr>
        <w:t xml:space="preserve"> </w:t>
      </w:r>
      <w:r w:rsidRPr="009E0317">
        <w:rPr>
          <w:rFonts w:ascii="Arial" w:hAnsi="Arial" w:cs="Arial"/>
          <w:sz w:val="24"/>
          <w:szCs w:val="24"/>
        </w:rPr>
        <w:t xml:space="preserve">une démolition ou réhabilitation </w:t>
      </w:r>
      <w:r>
        <w:rPr>
          <w:rFonts w:ascii="Arial" w:hAnsi="Arial" w:cs="Arial"/>
          <w:sz w:val="24"/>
          <w:szCs w:val="24"/>
        </w:rPr>
        <w:t>significative</w:t>
      </w:r>
      <w:r w:rsidRPr="009E0317">
        <w:rPr>
          <w:rFonts w:ascii="Arial" w:hAnsi="Arial" w:cs="Arial"/>
          <w:sz w:val="24"/>
          <w:szCs w:val="24"/>
        </w:rPr>
        <w:t>.</w:t>
      </w:r>
    </w:p>
    <w:p w14:paraId="67C4D9D4" w14:textId="77777777" w:rsidR="009E0317" w:rsidRP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F1F4D0" w14:textId="1F68C4AB" w:rsidR="009E0317" w:rsidRPr="009E0317" w:rsidRDefault="009E0317" w:rsidP="009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317">
        <w:rPr>
          <w:rFonts w:ascii="Arial" w:hAnsi="Arial" w:cs="Arial"/>
          <w:sz w:val="24"/>
          <w:szCs w:val="24"/>
        </w:rPr>
        <w:t>L’ajout d’une sanction est donc indispensable pour garantir</w:t>
      </w:r>
      <w:r>
        <w:rPr>
          <w:rFonts w:ascii="Arial" w:hAnsi="Arial" w:cs="Arial"/>
          <w:sz w:val="24"/>
          <w:szCs w:val="24"/>
        </w:rPr>
        <w:t xml:space="preserve"> </w:t>
      </w:r>
      <w:r w:rsidRPr="009E0317">
        <w:rPr>
          <w:rFonts w:ascii="Arial" w:hAnsi="Arial" w:cs="Arial"/>
          <w:sz w:val="24"/>
          <w:szCs w:val="24"/>
        </w:rPr>
        <w:t>l’effectivité du nouveau dispositif.</w:t>
      </w:r>
    </w:p>
    <w:sectPr w:rsidR="009E0317" w:rsidRPr="009E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cle Semi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5"/>
    <w:rsid w:val="000E7295"/>
    <w:rsid w:val="000F6305"/>
    <w:rsid w:val="001B7DD3"/>
    <w:rsid w:val="003C43A1"/>
    <w:rsid w:val="003F123C"/>
    <w:rsid w:val="00445777"/>
    <w:rsid w:val="00512BEF"/>
    <w:rsid w:val="00580305"/>
    <w:rsid w:val="005A49FB"/>
    <w:rsid w:val="00617633"/>
    <w:rsid w:val="00681A22"/>
    <w:rsid w:val="006D02F4"/>
    <w:rsid w:val="00720872"/>
    <w:rsid w:val="00742E0F"/>
    <w:rsid w:val="008213BC"/>
    <w:rsid w:val="00925DD3"/>
    <w:rsid w:val="009B27BE"/>
    <w:rsid w:val="009E0317"/>
    <w:rsid w:val="00B402FF"/>
    <w:rsid w:val="00BE52D4"/>
    <w:rsid w:val="00BF749C"/>
    <w:rsid w:val="00CC3480"/>
    <w:rsid w:val="00D204A1"/>
    <w:rsid w:val="00D4570D"/>
    <w:rsid w:val="00D60517"/>
    <w:rsid w:val="00D876DD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9816"/>
  <w15:chartTrackingRefBased/>
  <w15:docId w15:val="{310CBB56-EBC0-48A8-A0D9-5A6FB0B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7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7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E7295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480" w:line="240" w:lineRule="auto"/>
      <w:jc w:val="center"/>
    </w:pPr>
    <w:rPr>
      <w:rFonts w:ascii="Cicle Semi" w:eastAsiaTheme="minorHAnsi" w:hAnsi="Cicle Semi" w:cstheme="minorBidi"/>
      <w:b/>
      <w:color w:val="095D40"/>
      <w:sz w:val="28"/>
      <w:szCs w:val="22"/>
    </w:rPr>
  </w:style>
  <w:style w:type="character" w:customStyle="1" w:styleId="Style1Car">
    <w:name w:val="Style1 Car"/>
    <w:basedOn w:val="Policepardfaut"/>
    <w:link w:val="Style1"/>
    <w:rsid w:val="000E7295"/>
    <w:rPr>
      <w:rFonts w:ascii="Cicle Semi" w:hAnsi="Cicle Semi"/>
      <w:b/>
      <w:color w:val="095D40"/>
      <w:sz w:val="28"/>
      <w:shd w:val="clear" w:color="auto" w:fill="F2F2F2" w:themeFill="background1" w:themeFillShade="F2"/>
    </w:rPr>
  </w:style>
  <w:style w:type="character" w:customStyle="1" w:styleId="Titre1Car">
    <w:name w:val="Titre 1 Car"/>
    <w:basedOn w:val="Policepardfaut"/>
    <w:link w:val="Titre1"/>
    <w:uiPriority w:val="9"/>
    <w:rsid w:val="000E7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0E7295"/>
    <w:pPr>
      <w:spacing w:after="0" w:line="240" w:lineRule="auto"/>
      <w:jc w:val="center"/>
    </w:pPr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character" w:customStyle="1" w:styleId="Style2Car">
    <w:name w:val="Style2 Car"/>
    <w:basedOn w:val="Policepardfaut"/>
    <w:link w:val="Style2"/>
    <w:rsid w:val="000E7295"/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paragraph" w:customStyle="1" w:styleId="TItre20">
    <w:name w:val="TItre2"/>
    <w:basedOn w:val="Titre2"/>
    <w:qFormat/>
    <w:rsid w:val="000E7295"/>
    <w:pPr>
      <w:spacing w:before="240" w:after="240" w:line="360" w:lineRule="auto"/>
      <w:jc w:val="center"/>
    </w:pPr>
    <w:rPr>
      <w:rFonts w:ascii="Cicle Semi" w:hAnsi="Cicle Semi"/>
      <w:b/>
      <w:color w:val="auto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30">
    <w:name w:val="TItre3"/>
    <w:basedOn w:val="Titre3"/>
    <w:qFormat/>
    <w:rsid w:val="000E7295"/>
    <w:pPr>
      <w:spacing w:line="480" w:lineRule="auto"/>
      <w:ind w:left="709"/>
      <w:jc w:val="both"/>
    </w:pPr>
    <w:rPr>
      <w:rFonts w:ascii="Cicle Semi" w:hAnsi="Cicle Semi"/>
      <w:b/>
      <w:color w:val="095D4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7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re40">
    <w:name w:val="Titre4"/>
    <w:basedOn w:val="Titre4"/>
    <w:qFormat/>
    <w:rsid w:val="000E7295"/>
    <w:pPr>
      <w:spacing w:line="240" w:lineRule="auto"/>
      <w:ind w:left="708"/>
      <w:jc w:val="both"/>
    </w:pPr>
    <w:rPr>
      <w:rFonts w:ascii="Cicle Semi" w:hAnsi="Cicle Semi"/>
      <w:b/>
      <w:bCs/>
      <w:iCs w:val="0"/>
      <w:color w:val="auto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E72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re50">
    <w:name w:val="Titre5"/>
    <w:basedOn w:val="Titre5"/>
    <w:qFormat/>
    <w:rsid w:val="000E7295"/>
    <w:pPr>
      <w:spacing w:line="240" w:lineRule="auto"/>
      <w:jc w:val="center"/>
    </w:pPr>
    <w:rPr>
      <w:rFonts w:ascii="Cicle Semi" w:hAnsi="Cicle Semi"/>
      <w:b/>
      <w:color w:val="BF8F00" w:themeColor="accent4" w:themeShade="BF"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GELOT - SKOV</dc:creator>
  <cp:keywords/>
  <dc:description/>
  <cp:lastModifiedBy>Laura Croze</cp:lastModifiedBy>
  <cp:revision>5</cp:revision>
  <dcterms:created xsi:type="dcterms:W3CDTF">2021-07-19T12:25:00Z</dcterms:created>
  <dcterms:modified xsi:type="dcterms:W3CDTF">2021-07-19T13:30:00Z</dcterms:modified>
</cp:coreProperties>
</file>